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UK CBAM document checklist</w:t>
      </w:r>
    </w:p>
    <w:p>
      <w:r>
        <w:rPr>
          <w:sz w:val="19"/>
        </w:rPr>
        <w:t>Appendix C of UK CBAM for Importers. Law as at 13 September 2026. One page per consignment; every record is kept in writing for six years. ukcbam.com/resources/document-checklist</w:t>
      </w:r>
    </w:p>
    <w:p>
      <w:pPr>
        <w:spacing w:before="200"/>
      </w:pPr>
      <w:r>
        <w:rPr>
          <w:b/>
          <w:sz w:val="25"/>
        </w:rPr>
        <w:t>For every consignment of a covered good, registered or not (regulation 5 of SI 2026/802)</w:t>
      </w:r>
    </w:p>
    <w:p>
      <w:pPr>
        <w:pStyle w:val="ListNumber"/>
      </w:pPr>
      <w:r>
        <w:t>The accepted customs declaration: eight-digit commodity code and description, date of acceptance, customs value, declarant.</w:t>
      </w:r>
    </w:p>
    <w:p>
      <w:pPr>
        <w:pStyle w:val="ListNumber"/>
      </w:pPr>
      <w:r>
        <w:t>The commercial invoice, supporting the value.</w:t>
      </w:r>
    </w:p>
    <w:p>
      <w:pPr>
        <w:pStyle w:val="ListNumber"/>
      </w:pPr>
      <w:r>
        <w:t>The packing list or weight certificate, supporting the net weight without packing materials and containers (regulation 4).</w:t>
      </w:r>
    </w:p>
    <w:p>
      <w:pPr>
        <w:pStyle w:val="ListNumber"/>
      </w:pPr>
      <w:r>
        <w:t>Where an agent declared, the agent's instruction or authority showing on whose behalf the declaration was made (section 146(2)).</w:t>
      </w:r>
    </w:p>
    <w:p>
      <w:pPr>
        <w:pStyle w:val="ListNumber"/>
      </w:pPr>
      <w:r>
        <w:t>Where applicable, the note that section 147(2) applies (UK origin or returned goods) and the evidence behind it.</w:t>
      </w:r>
    </w:p>
    <w:p>
      <w:pPr>
        <w:spacing w:before="200"/>
      </w:pPr>
      <w:r>
        <w:rPr>
          <w:b/>
          <w:sz w:val="25"/>
        </w:rPr>
        <w:t>For the registration test (Schedule 17, paragraph 2)</w:t>
      </w:r>
    </w:p>
    <w:p>
      <w:pPr>
        <w:pStyle w:val="ListNumber"/>
      </w:pPr>
      <w:r>
        <w:t>The running twelve-month schedule of customs values of covered imports, run on the first day of each month, leaving out section 147(2) goods and re-exported section 145 goods.</w:t>
      </w:r>
    </w:p>
    <w:p>
      <w:pPr>
        <w:pStyle w:val="ListNumber"/>
      </w:pPr>
      <w:r>
        <w:t>The trigger date and the working that produced it (regulation 7).</w:t>
      </w:r>
    </w:p>
    <w:p>
      <w:pPr>
        <w:pStyle w:val="ListNumber"/>
      </w:pPr>
      <w:r>
        <w:t>The registration, the information supplied under regulation 7 and the declaration that accompanied it.</w:t>
      </w:r>
    </w:p>
    <w:p>
      <w:pPr>
        <w:spacing w:before="200"/>
      </w:pPr>
      <w:r>
        <w:rPr>
          <w:b/>
          <w:sz w:val="25"/>
        </w:rPr>
        <w:t>For the return (regulation 10(1) of SI 2026/802, as amended)</w:t>
      </w:r>
    </w:p>
    <w:p>
      <w:pPr>
        <w:pStyle w:val="ListNumber"/>
      </w:pPr>
      <w:r>
        <w:t>For each line: the eight-digit code, the weight, the amount of carbon price relief, the place of origin, the level of any default value, the verified emissions intensity, and whether a UK-origin precursor within section 147(3) was used.</w:t>
      </w:r>
    </w:p>
    <w:p>
      <w:pPr>
        <w:pStyle w:val="ListNumber"/>
      </w:pPr>
      <w:r>
        <w:t>The origin evidence behind each line (regulation 11).</w:t>
      </w:r>
    </w:p>
    <w:p>
      <w:pPr>
        <w:pStyle w:val="ListNumber"/>
      </w:pPr>
      <w:r>
        <w:t>The sectoral domestic price published for each quarter of import, and the arithmetic for each consignment or group.</w:t>
      </w:r>
    </w:p>
    <w:p>
      <w:pPr>
        <w:spacing w:before="200"/>
      </w:pPr>
      <w:r>
        <w:rPr>
          <w:b/>
          <w:sz w:val="25"/>
        </w:rPr>
        <w:t>Where actual emissions data are used (regulation 16 of SI 2026/995)</w:t>
      </w:r>
    </w:p>
    <w:p>
      <w:pPr>
        <w:pStyle w:val="ListNumber"/>
      </w:pPr>
      <w:r>
        <w:t>The verification report under regulation 14, or the good-specific verification summary once defined: installation, operator and verifier with addresses, accreditation number, monitoring period, verification opinion statement.</w:t>
      </w:r>
    </w:p>
    <w:p>
      <w:pPr>
        <w:pStyle w:val="ListNumber"/>
      </w:pPr>
      <w:r>
        <w:t>The document tying the consignment to the installation: mill certificate, certificate of analysis or delivery note.</w:t>
      </w:r>
    </w:p>
    <w:p>
      <w:pPr>
        <w:pStyle w:val="ListNumber"/>
      </w:pPr>
      <w:r>
        <w:t>The supplier's statement of the emissions intensity per commodity code drawn from the report.</w:t>
      </w:r>
    </w:p>
    <w:p>
      <w:pPr>
        <w:pStyle w:val="ListNumber"/>
      </w:pPr>
      <w:r>
        <w:t>Evidence that the monitoring period is one regulation 9(2) or (3) allows for the year of import.</w:t>
      </w:r>
    </w:p>
    <w:p>
      <w:pPr>
        <w:pStyle w:val="ListNumber"/>
      </w:pPr>
      <w:r>
        <w:t>For a complex good, the supplier's statement of precursors, their installations, and whether each was verified or defaulted.</w:t>
      </w:r>
    </w:p>
    <w:p>
      <w:pPr>
        <w:pStyle w:val="ListNumber"/>
      </w:pPr>
      <w:r>
        <w:t>Where the report does not show it, the accreditation body's certificate showing the type of good covered (regulation 12(1)(b)).</w:t>
      </w:r>
    </w:p>
    <w:p>
      <w:pPr>
        <w:spacing w:before="200"/>
      </w:pPr>
      <w:r>
        <w:rPr>
          <w:b/>
          <w:sz w:val="25"/>
        </w:rPr>
        <w:t>Where a default value is used (regulation 4 of SI 2026/995)</w:t>
      </w:r>
    </w:p>
    <w:p>
      <w:pPr>
        <w:pStyle w:val="ListNumber"/>
      </w:pPr>
      <w:r>
        <w:t>The Treasury notice under paragraph 11 of Schedule 17 as it stood for the period, or a dated copy of the values used.</w:t>
      </w:r>
    </w:p>
    <w:p>
      <w:pPr>
        <w:pStyle w:val="ListNumber"/>
      </w:pPr>
      <w:r>
        <w:t>The working that applied the value to the weight.</w:t>
      </w:r>
    </w:p>
    <w:p>
      <w:pPr>
        <w:pStyle w:val="ListNumber"/>
      </w:pPr>
      <w:r>
        <w:t>Any correspondence showing why actual data was not used, since paragraph 8(2) bars a later amendment.</w:t>
      </w:r>
    </w:p>
    <w:p>
      <w:pPr>
        <w:spacing w:before="200"/>
      </w:pPr>
      <w:r>
        <w:rPr>
          <w:b/>
          <w:sz w:val="25"/>
        </w:rPr>
        <w:t>Where carbon price relief is claimed (regulation 15 of SI 2026/809)</w:t>
      </w:r>
    </w:p>
    <w:p>
      <w:pPr>
        <w:pStyle w:val="ListNumber"/>
      </w:pPr>
      <w:r>
        <w:t>The evidence that the scheme meets regulation 6 and of its relevant elements under regulation 11: the published rules, scope and headline price.</w:t>
      </w:r>
    </w:p>
    <w:p>
      <w:pPr>
        <w:pStyle w:val="ListNumber"/>
      </w:pPr>
      <w:r>
        <w:t>Form CarbonVP1 for the installation and, under regulation 12(3), for each precursor installation in a different jurisdiction.</w:t>
      </w:r>
    </w:p>
    <w:p>
      <w:pPr>
        <w:pStyle w:val="ListNumber"/>
      </w:pPr>
      <w:r>
        <w:t>The five-step calculation of the effective carbon price (regulation 12).</w:t>
      </w:r>
    </w:p>
    <w:p>
      <w:pPr>
        <w:pStyle w:val="ListNumber"/>
      </w:pPr>
      <w:r>
        <w:t>The calculation of the relief with the cap (regulation 13) and the exchange rate and conversion (regulation 14).</w:t>
      </w:r>
    </w:p>
    <w:p>
      <w:pPr>
        <w:spacing w:before="200"/>
      </w:pPr>
      <w:r>
        <w:rPr>
          <w:b/>
          <w:sz w:val="25"/>
        </w:rPr>
        <w:t>Where the consignment is treated as outside the charge (section 147)</w:t>
      </w:r>
    </w:p>
    <w:p>
      <w:pPr>
        <w:pStyle w:val="ListNumber"/>
      </w:pPr>
      <w:r>
        <w:t>UK origin: the origin determination under the customs tariff in its standard form and the documents behind it.</w:t>
      </w:r>
    </w:p>
    <w:p>
      <w:pPr>
        <w:pStyle w:val="ListNumber"/>
      </w:pPr>
      <w:r>
        <w:t>Returned goods: the export evidence and the documents on which returned goods relief was claimed.</w:t>
      </w:r>
    </w:p>
    <w:p>
      <w:pPr>
        <w:pStyle w:val="ListNumber"/>
      </w:pPr>
      <w:r>
        <w:t>Temporary admission with full relief: the declaration for the procedure and the evidence of the relief.</w:t>
      </w:r>
    </w:p>
    <w:p>
      <w:pPr>
        <w:pStyle w:val="ListNumber"/>
      </w:pPr>
      <w:r>
        <w:t>UK-origin precursor: the origin evidence for the precursor, the evidence of its export and processing abroad, and the working that attributed the exempt share.</w:t>
      </w:r>
    </w:p>
    <w:p>
      <w:pPr>
        <w:spacing w:before="200"/>
      </w:pPr>
      <w:r>
        <w:rPr>
          <w:b/>
          <w:sz w:val="25"/>
        </w:rPr>
        <w:t>Where a repayment is claimed (Schedule 17, paragraph 25)</w:t>
      </w:r>
    </w:p>
    <w:p>
      <w:pPr>
        <w:pStyle w:val="ListNumber"/>
      </w:pPr>
      <w:r>
        <w:t>The claim and the working showing the amount was not due.</w:t>
      </w:r>
    </w:p>
    <w:p>
      <w:pPr>
        <w:pStyle w:val="ListNumber"/>
      </w:pPr>
      <w:r>
        <w:t>Where customers are reimbursed: the name and address of each person reimbursed, the total amount, the interest included and the date of each reimbursement (regulation 17 of SI 2026/802).</w:t>
      </w:r>
    </w:p>
    <w:p>
      <w:pPr>
        <w:spacing w:before="200"/>
      </w:pPr>
      <w:r>
        <w:rPr>
          <w:b/>
          <w:sz w:val="25"/>
        </w:rPr>
        <w:t>Retention</w:t>
      </w:r>
    </w:p>
    <w:p>
      <w:r>
        <w:t>Six years beginning with the day after the end of the accounting period, or from creation where there is no period, or from the later of the period end and the reimbursement date for reimbursement records. Write the destruction date on the file. A failure to keep a required record carries a penalty of £500 (Schedule 17, paragraph 39).</w:t>
      </w:r>
    </w:p>
    <w:p>
      <w:pPr>
        <w:spacing w:before="200"/>
      </w:pPr>
      <w:r>
        <w:rPr>
          <w:b/>
          <w:sz w:val="25"/>
        </w:rPr>
        <w:t>The one-page cover for a new consignment</w:t>
      </w:r>
    </w:p>
    <w:p>
      <w:r>
        <w:t>Declaration, invoice, packing list or weight certificate, agent's authority; origin evidence; installation identification; verification report or default value copy; precursor statement; form CarbonVP1 and scheme evidence; exemption evidence; the return line and its working; the date on which the six years run out.</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CBAM document checklist</dc:title>
  <dc:subject/>
  <dc:creator>ukcbam.com</dc:creator>
  <cp:keywords/>
  <dc:description/>
  <cp:lastModifiedBy>ukcbam.com</cp:lastModifiedBy>
  <cp:revision>1</cp:revision>
  <dcterms:created xsi:type="dcterms:W3CDTF">2013-12-23T23:15:00Z</dcterms:created>
  <dcterms:modified xsi:type="dcterms:W3CDTF">2013-12-23T23:15:00Z</dcterms:modified>
  <cp:category/>
</cp:coreProperties>
</file>